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8C0" w:rsidRPr="009318C0" w:rsidRDefault="009318C0" w:rsidP="009318C0">
      <w:pPr>
        <w:spacing w:before="100" w:beforeAutospacing="1" w:after="100" w:afterAutospacing="1"/>
        <w:outlineLvl w:val="0"/>
        <w:rPr>
          <w:rFonts w:ascii="Times" w:eastAsia="Times New Roman" w:hAnsi="Times" w:cs="Times New Roman"/>
          <w:b/>
          <w:bCs/>
          <w:kern w:val="36"/>
          <w:sz w:val="48"/>
          <w:szCs w:val="48"/>
        </w:rPr>
      </w:pPr>
      <w:bookmarkStart w:id="0" w:name="_GoBack"/>
      <w:r w:rsidRPr="009318C0">
        <w:rPr>
          <w:rFonts w:ascii="Times" w:eastAsia="Times New Roman" w:hAnsi="Times" w:cs="Times New Roman"/>
          <w:b/>
          <w:bCs/>
          <w:kern w:val="36"/>
          <w:sz w:val="48"/>
          <w:szCs w:val="48"/>
        </w:rPr>
        <w:t xml:space="preserve">The </w:t>
      </w:r>
      <w:proofErr w:type="spellStart"/>
      <w:r w:rsidRPr="009318C0">
        <w:rPr>
          <w:rFonts w:ascii="Times" w:eastAsia="Times New Roman" w:hAnsi="Times" w:cs="Times New Roman"/>
          <w:b/>
          <w:bCs/>
          <w:kern w:val="36"/>
          <w:sz w:val="48"/>
          <w:szCs w:val="48"/>
        </w:rPr>
        <w:t>DataFlux</w:t>
      </w:r>
      <w:proofErr w:type="spellEnd"/>
      <w:r w:rsidRPr="009318C0">
        <w:rPr>
          <w:rFonts w:ascii="Times" w:eastAsia="Times New Roman" w:hAnsi="Times" w:cs="Times New Roman"/>
          <w:b/>
          <w:bCs/>
          <w:kern w:val="36"/>
          <w:sz w:val="48"/>
          <w:szCs w:val="48"/>
        </w:rPr>
        <w:t xml:space="preserve"> Data Governance Maturity Model</w:t>
      </w:r>
    </w:p>
    <w:bookmarkEnd w:id="0"/>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xml:space="preserve">The </w:t>
      </w:r>
      <w:proofErr w:type="spellStart"/>
      <w:r w:rsidRPr="009318C0">
        <w:rPr>
          <w:rFonts w:ascii="Times" w:hAnsi="Times" w:cs="Times New Roman"/>
          <w:sz w:val="20"/>
          <w:szCs w:val="20"/>
        </w:rPr>
        <w:t>DataFlux</w:t>
      </w:r>
      <w:proofErr w:type="spellEnd"/>
      <w:r w:rsidRPr="009318C0">
        <w:rPr>
          <w:rFonts w:ascii="Times" w:hAnsi="Times" w:cs="Times New Roman"/>
          <w:sz w:val="20"/>
          <w:szCs w:val="20"/>
        </w:rPr>
        <w:t xml:space="preserve"> Data Governance Maturity Model helps organizations understand their current level of data management and identify a path for growth in the future</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While achieving a single, unified enterprise view is an evolutionary process, an organization’s growth toward this ultimate goal invariably follows an understood and established path, marked by four distinct stages.</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Companies that plan their evolution in a systematic fashion gain over those that are forced to change by external events. The Data Governance Maturity Model helps control that change by determining what stage is appropriate for the business – and how and when to move to the next stage. Each stage requires certain investments, both in internal resources and from third-party technology. However, the rewards from a data governance program escalate while risks decrease as the organization progresses through each stage.</w:t>
      </w:r>
    </w:p>
    <w:p w:rsidR="009318C0" w:rsidRPr="009318C0" w:rsidRDefault="009318C0" w:rsidP="009318C0">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5551170" cy="3495675"/>
            <wp:effectExtent l="0" t="0" r="11430" b="9525"/>
            <wp:docPr id="1" name="Picture 1" descr="he DataFlux Data Governance Maturity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 DataFlux Data Governance Maturity Mod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51170" cy="3495675"/>
                    </a:xfrm>
                    <a:prstGeom prst="rect">
                      <a:avLst/>
                    </a:prstGeom>
                    <a:noFill/>
                    <a:ln>
                      <a:noFill/>
                    </a:ln>
                  </pic:spPr>
                </pic:pic>
              </a:graphicData>
            </a:graphic>
          </wp:inline>
        </w:drawing>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The four stages of data governance maturity are:</w:t>
      </w:r>
    </w:p>
    <w:p w:rsidR="009318C0" w:rsidRPr="009318C0" w:rsidRDefault="009318C0" w:rsidP="009318C0">
      <w:pPr>
        <w:numPr>
          <w:ilvl w:val="0"/>
          <w:numId w:val="1"/>
        </w:numPr>
        <w:spacing w:before="100" w:beforeAutospacing="1" w:after="100" w:afterAutospacing="1"/>
        <w:rPr>
          <w:rFonts w:ascii="Times" w:eastAsia="Times New Roman" w:hAnsi="Times" w:cs="Times New Roman"/>
          <w:b/>
          <w:bCs/>
          <w:sz w:val="20"/>
          <w:szCs w:val="20"/>
        </w:rPr>
      </w:pPr>
      <w:r w:rsidRPr="009318C0">
        <w:rPr>
          <w:rFonts w:ascii="Times" w:eastAsia="Times New Roman" w:hAnsi="Times" w:cs="Times New Roman"/>
          <w:b/>
          <w:bCs/>
          <w:sz w:val="20"/>
          <w:szCs w:val="20"/>
        </w:rPr>
        <w:t>Undisciplined</w:t>
      </w:r>
    </w:p>
    <w:p w:rsidR="009318C0" w:rsidRPr="009318C0" w:rsidRDefault="009318C0" w:rsidP="009318C0">
      <w:pPr>
        <w:numPr>
          <w:ilvl w:val="0"/>
          <w:numId w:val="1"/>
        </w:numPr>
        <w:spacing w:before="100" w:beforeAutospacing="1" w:after="100" w:afterAutospacing="1"/>
        <w:rPr>
          <w:rFonts w:ascii="Times" w:eastAsia="Times New Roman" w:hAnsi="Times" w:cs="Times New Roman"/>
          <w:b/>
          <w:bCs/>
          <w:sz w:val="20"/>
          <w:szCs w:val="20"/>
        </w:rPr>
      </w:pPr>
      <w:r w:rsidRPr="009318C0">
        <w:rPr>
          <w:rFonts w:ascii="Times" w:eastAsia="Times New Roman" w:hAnsi="Times" w:cs="Times New Roman"/>
          <w:b/>
          <w:bCs/>
          <w:sz w:val="20"/>
          <w:szCs w:val="20"/>
        </w:rPr>
        <w:t>Reactive</w:t>
      </w:r>
    </w:p>
    <w:p w:rsidR="009318C0" w:rsidRPr="009318C0" w:rsidRDefault="009318C0" w:rsidP="009318C0">
      <w:pPr>
        <w:numPr>
          <w:ilvl w:val="0"/>
          <w:numId w:val="1"/>
        </w:numPr>
        <w:spacing w:before="100" w:beforeAutospacing="1" w:after="100" w:afterAutospacing="1"/>
        <w:rPr>
          <w:rFonts w:ascii="Times" w:eastAsia="Times New Roman" w:hAnsi="Times" w:cs="Times New Roman"/>
          <w:b/>
          <w:bCs/>
          <w:sz w:val="20"/>
          <w:szCs w:val="20"/>
        </w:rPr>
      </w:pPr>
      <w:r w:rsidRPr="009318C0">
        <w:rPr>
          <w:rFonts w:ascii="Times" w:eastAsia="Times New Roman" w:hAnsi="Times" w:cs="Times New Roman"/>
          <w:b/>
          <w:bCs/>
          <w:sz w:val="20"/>
          <w:szCs w:val="20"/>
        </w:rPr>
        <w:t>Proactive</w:t>
      </w:r>
    </w:p>
    <w:p w:rsidR="009318C0" w:rsidRPr="009318C0" w:rsidRDefault="009318C0" w:rsidP="009318C0">
      <w:pPr>
        <w:numPr>
          <w:ilvl w:val="0"/>
          <w:numId w:val="1"/>
        </w:numPr>
        <w:spacing w:before="100" w:beforeAutospacing="1" w:after="100" w:afterAutospacing="1"/>
        <w:rPr>
          <w:rFonts w:ascii="Times" w:eastAsia="Times New Roman" w:hAnsi="Times" w:cs="Times New Roman"/>
          <w:b/>
          <w:bCs/>
          <w:sz w:val="20"/>
          <w:szCs w:val="20"/>
        </w:rPr>
      </w:pPr>
      <w:r w:rsidRPr="009318C0">
        <w:rPr>
          <w:rFonts w:ascii="Times" w:eastAsia="Times New Roman" w:hAnsi="Times" w:cs="Times New Roman"/>
          <w:b/>
          <w:bCs/>
          <w:sz w:val="20"/>
          <w:szCs w:val="20"/>
        </w:rPr>
        <w:t>Governed</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lastRenderedPageBreak/>
        <w:t> </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w:t>
      </w:r>
    </w:p>
    <w:p w:rsidR="009318C0" w:rsidRPr="009318C0" w:rsidRDefault="009318C0" w:rsidP="009318C0">
      <w:pPr>
        <w:spacing w:before="100" w:beforeAutospacing="1" w:after="100" w:afterAutospacing="1"/>
        <w:outlineLvl w:val="1"/>
        <w:rPr>
          <w:rFonts w:ascii="Times" w:eastAsia="Times New Roman" w:hAnsi="Times" w:cs="Times New Roman"/>
          <w:b/>
          <w:bCs/>
          <w:sz w:val="36"/>
          <w:szCs w:val="36"/>
        </w:rPr>
      </w:pPr>
      <w:r w:rsidRPr="009318C0">
        <w:rPr>
          <w:rFonts w:ascii="Times" w:eastAsia="Times New Roman" w:hAnsi="Times" w:cs="Times New Roman"/>
          <w:b/>
          <w:bCs/>
          <w:sz w:val="36"/>
          <w:szCs w:val="36"/>
        </w:rPr>
        <w:t>Stage One – Undisciplined</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 xml:space="preserve">At the initial stage of the Data Governance Maturity Model, an organization has few defined rules and policies regarding data quality and data integration. The same data may exist in multiple applications, and redundant data resides in different sources, formats and records. Companies in this stage have little or no executive-level insight into the costs of bad or </w:t>
      </w:r>
      <w:proofErr w:type="gramStart"/>
      <w:r w:rsidRPr="009318C0">
        <w:rPr>
          <w:rFonts w:ascii="Times" w:hAnsi="Times" w:cs="Times New Roman"/>
          <w:sz w:val="20"/>
          <w:szCs w:val="20"/>
        </w:rPr>
        <w:t>poorly-integrated</w:t>
      </w:r>
      <w:proofErr w:type="gramEnd"/>
      <w:r w:rsidRPr="009318C0">
        <w:rPr>
          <w:rFonts w:ascii="Times" w:hAnsi="Times" w:cs="Times New Roman"/>
          <w:sz w:val="20"/>
          <w:szCs w:val="20"/>
        </w:rPr>
        <w:t xml:space="preserve"> data.</w:t>
      </w:r>
    </w:p>
    <w:p w:rsidR="009318C0" w:rsidRPr="009318C0" w:rsidRDefault="009318C0" w:rsidP="009318C0">
      <w:pPr>
        <w:spacing w:before="100" w:beforeAutospacing="1" w:after="100" w:afterAutospacing="1"/>
        <w:outlineLvl w:val="1"/>
        <w:rPr>
          <w:rFonts w:ascii="Times" w:eastAsia="Times New Roman" w:hAnsi="Times" w:cs="Times New Roman"/>
          <w:b/>
          <w:bCs/>
          <w:sz w:val="36"/>
          <w:szCs w:val="36"/>
        </w:rPr>
      </w:pPr>
      <w:r w:rsidRPr="009318C0">
        <w:rPr>
          <w:rFonts w:ascii="Times" w:eastAsia="Times New Roman" w:hAnsi="Times" w:cs="Times New Roman"/>
          <w:b/>
          <w:bCs/>
          <w:sz w:val="36"/>
          <w:szCs w:val="36"/>
        </w:rPr>
        <w:t>Stage Two – Reactive</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A reactive organization locates and confronts data-centric problems only after they occur. Enterprise resource planning (ERP) or customer relationship management (CRM) applications perform specific tasks, and organizations experience varied levels of data quality. While certain employees understand the importance of high-quality information, overall corporate management support – as well as a designated team for data management – is lacking.</w:t>
      </w:r>
    </w:p>
    <w:p w:rsidR="009318C0" w:rsidRPr="009318C0" w:rsidRDefault="009318C0" w:rsidP="009318C0">
      <w:pPr>
        <w:spacing w:before="100" w:beforeAutospacing="1" w:after="100" w:afterAutospacing="1"/>
        <w:outlineLvl w:val="1"/>
        <w:rPr>
          <w:rFonts w:ascii="Times" w:eastAsia="Times New Roman" w:hAnsi="Times" w:cs="Times New Roman"/>
          <w:b/>
          <w:bCs/>
          <w:sz w:val="36"/>
          <w:szCs w:val="36"/>
        </w:rPr>
      </w:pPr>
      <w:r w:rsidRPr="009318C0">
        <w:rPr>
          <w:rFonts w:ascii="Times" w:eastAsia="Times New Roman" w:hAnsi="Times" w:cs="Times New Roman"/>
          <w:b/>
          <w:bCs/>
          <w:sz w:val="36"/>
          <w:szCs w:val="36"/>
        </w:rPr>
        <w:t>Stage Three – Proactive</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Reaching the proactive stage of the maturity model gives companies the ability to avoid risk and reduce uncertainty. At this stage, data goes from an undervalued commodity to an asset that can be used to help organizations make more informed decisions.</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A proactive organization implements and uses customer or product master data management (MDM) solutions – taking a domain-specific approach to MDM efforts. The choice of customer or product data depends on the importance of each data set to the overall business. A retail or financial services company has obvious reasons to centralize customer data. Manufacturers or distributors would take product-centric approaches. Other companies may identify corporate assets, employees or production materials as a logical starting point for MDM.</w:t>
      </w:r>
    </w:p>
    <w:p w:rsidR="009318C0" w:rsidRPr="009318C0" w:rsidRDefault="009318C0" w:rsidP="009318C0">
      <w:pPr>
        <w:spacing w:before="100" w:beforeAutospacing="1" w:after="100" w:afterAutospacing="1"/>
        <w:outlineLvl w:val="1"/>
        <w:rPr>
          <w:rFonts w:ascii="Times" w:eastAsia="Times New Roman" w:hAnsi="Times" w:cs="Times New Roman"/>
          <w:b/>
          <w:bCs/>
          <w:sz w:val="36"/>
          <w:szCs w:val="36"/>
        </w:rPr>
      </w:pPr>
      <w:r w:rsidRPr="009318C0">
        <w:rPr>
          <w:rFonts w:ascii="Times" w:eastAsia="Times New Roman" w:hAnsi="Times" w:cs="Times New Roman"/>
          <w:b/>
          <w:bCs/>
          <w:sz w:val="36"/>
          <w:szCs w:val="36"/>
        </w:rPr>
        <w:t>Stage Four – Governed</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At the governed stage, an organization has a unified data governance strategy throughout the enterprise. Data quality, data integration and data synchronization are integral parts of all business processes, and the organization is more agile and responsive due to the single, unified view of the enterprise.</w:t>
      </w:r>
    </w:p>
    <w:p w:rsidR="009318C0" w:rsidRPr="009318C0" w:rsidRDefault="009318C0" w:rsidP="009318C0">
      <w:pPr>
        <w:spacing w:before="100" w:beforeAutospacing="1" w:after="100" w:afterAutospacing="1"/>
        <w:rPr>
          <w:rFonts w:ascii="Times" w:hAnsi="Times" w:cs="Times New Roman"/>
          <w:sz w:val="20"/>
          <w:szCs w:val="20"/>
        </w:rPr>
      </w:pPr>
      <w:r w:rsidRPr="009318C0">
        <w:rPr>
          <w:rFonts w:ascii="Times" w:hAnsi="Times" w:cs="Times New Roman"/>
          <w:sz w:val="20"/>
          <w:szCs w:val="20"/>
        </w:rPr>
        <w:t>At this stage, business process automation becomes a reality, and enterprise systems can work to meet the needs of employees, not vice versa. For example, a company that achieves this stage can focus on providing superior customer service, as they understand various facets of a customer’s interactions due to a single repository of all relevant information. Companies can also use an MDM repository to fuel other initiatives, such as refining the supply chain by using better product and inventory data to leverage buying power with the supplier network.</w:t>
      </w:r>
    </w:p>
    <w:p w:rsidR="001523AC" w:rsidRDefault="001523AC"/>
    <w:sectPr w:rsidR="001523AC" w:rsidSect="001523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B09ED"/>
    <w:multiLevelType w:val="multilevel"/>
    <w:tmpl w:val="F9142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8C0"/>
    <w:rsid w:val="001523AC"/>
    <w:rsid w:val="00931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BF35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18C0"/>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318C0"/>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8C0"/>
    <w:rPr>
      <w:rFonts w:ascii="Times" w:hAnsi="Times"/>
      <w:b/>
      <w:bCs/>
      <w:kern w:val="36"/>
      <w:sz w:val="48"/>
      <w:szCs w:val="48"/>
    </w:rPr>
  </w:style>
  <w:style w:type="character" w:customStyle="1" w:styleId="Heading2Char">
    <w:name w:val="Heading 2 Char"/>
    <w:basedOn w:val="DefaultParagraphFont"/>
    <w:link w:val="Heading2"/>
    <w:uiPriority w:val="9"/>
    <w:rsid w:val="009318C0"/>
    <w:rPr>
      <w:rFonts w:ascii="Times" w:hAnsi="Times"/>
      <w:b/>
      <w:bCs/>
      <w:sz w:val="36"/>
      <w:szCs w:val="36"/>
    </w:rPr>
  </w:style>
  <w:style w:type="paragraph" w:customStyle="1" w:styleId="pagesubheader">
    <w:name w:val="pagesubheader"/>
    <w:basedOn w:val="Normal"/>
    <w:rsid w:val="009318C0"/>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9318C0"/>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9318C0"/>
    <w:rPr>
      <w:rFonts w:ascii="Lucida Grande" w:hAnsi="Lucida Grande"/>
      <w:sz w:val="18"/>
      <w:szCs w:val="18"/>
    </w:rPr>
  </w:style>
  <w:style w:type="character" w:customStyle="1" w:styleId="BalloonTextChar">
    <w:name w:val="Balloon Text Char"/>
    <w:basedOn w:val="DefaultParagraphFont"/>
    <w:link w:val="BalloonText"/>
    <w:uiPriority w:val="99"/>
    <w:semiHidden/>
    <w:rsid w:val="009318C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18C0"/>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318C0"/>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8C0"/>
    <w:rPr>
      <w:rFonts w:ascii="Times" w:hAnsi="Times"/>
      <w:b/>
      <w:bCs/>
      <w:kern w:val="36"/>
      <w:sz w:val="48"/>
      <w:szCs w:val="48"/>
    </w:rPr>
  </w:style>
  <w:style w:type="character" w:customStyle="1" w:styleId="Heading2Char">
    <w:name w:val="Heading 2 Char"/>
    <w:basedOn w:val="DefaultParagraphFont"/>
    <w:link w:val="Heading2"/>
    <w:uiPriority w:val="9"/>
    <w:rsid w:val="009318C0"/>
    <w:rPr>
      <w:rFonts w:ascii="Times" w:hAnsi="Times"/>
      <w:b/>
      <w:bCs/>
      <w:sz w:val="36"/>
      <w:szCs w:val="36"/>
    </w:rPr>
  </w:style>
  <w:style w:type="paragraph" w:customStyle="1" w:styleId="pagesubheader">
    <w:name w:val="pagesubheader"/>
    <w:basedOn w:val="Normal"/>
    <w:rsid w:val="009318C0"/>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9318C0"/>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9318C0"/>
    <w:rPr>
      <w:rFonts w:ascii="Lucida Grande" w:hAnsi="Lucida Grande"/>
      <w:sz w:val="18"/>
      <w:szCs w:val="18"/>
    </w:rPr>
  </w:style>
  <w:style w:type="character" w:customStyle="1" w:styleId="BalloonTextChar">
    <w:name w:val="Balloon Text Char"/>
    <w:basedOn w:val="DefaultParagraphFont"/>
    <w:link w:val="BalloonText"/>
    <w:uiPriority w:val="99"/>
    <w:semiHidden/>
    <w:rsid w:val="009318C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276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542</Words>
  <Characters>3093</Characters>
  <Application>Microsoft Macintosh Word</Application>
  <DocSecurity>0</DocSecurity>
  <Lines>25</Lines>
  <Paragraphs>7</Paragraphs>
  <ScaleCrop>false</ScaleCrop>
  <Company>Netcom</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Clabot</dc:creator>
  <cp:keywords/>
  <dc:description/>
  <cp:lastModifiedBy>Francesco Clabot</cp:lastModifiedBy>
  <cp:revision>1</cp:revision>
  <dcterms:created xsi:type="dcterms:W3CDTF">2012-05-10T13:47:00Z</dcterms:created>
  <dcterms:modified xsi:type="dcterms:W3CDTF">2012-05-10T13:48:00Z</dcterms:modified>
</cp:coreProperties>
</file>